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A0A0A"/>
          <w:sz w:val="36"/>
        </w:rPr>
        <w:t>Condizioni Generali (CG)</w:t>
      </w:r>
    </w:p>
    <w:p>
      <w:pPr>
        <w:spacing w:after="40"/>
      </w:pPr>
      <w:r>
        <w:rPr>
          <w:b/>
          <w:sz w:val="20"/>
        </w:rPr>
        <w:t>Growin Marketing</w:t>
      </w:r>
      <w:r>
        <w:rPr>
          <w:color w:val="595959"/>
          <w:sz w:val="19"/>
        </w:rPr>
        <w:t xml:space="preserve"> · Michael Meier-Panelli · Rebhaldenstrasse 17 · 9445 Rebstein · Svizzera</w:t>
        <w:br/>
        <w:t>IDI CHE‑202.147.017</w:t>
      </w:r>
    </w:p>
    <w:p>
      <w:r>
        <w:rPr>
          <w:color w:val="595959"/>
          <w:sz w:val="19"/>
        </w:rPr>
        <w:t>Versione del: 2 ottobre 2026</w:t>
      </w:r>
    </w:p>
    <w:p>
      <w:r>
        <w:rPr>
          <w:i/>
          <w:color w:val="595959"/>
          <w:sz w:val="19"/>
        </w:rPr>
        <w:t>Traduzione a titolo informativo. Fa fede la versione tedesca (n. 14.6).</w:t>
      </w:r>
    </w:p>
    <w:p>
      <w:pPr>
        <w:pBdr>
          <w:bottom w:val="single" w:sz="6" w:space="1" w:color="999999"/>
        </w:pBdr>
        <w:spacing w:after="120"/>
      </w:pPr>
    </w:p>
    <w:p>
      <w:pPr>
        <w:keepNext/>
        <w:spacing w:before="240" w:after="80"/>
      </w:pPr>
      <w:r>
        <w:rPr>
          <w:b/>
          <w:color w:val="0A0A0A"/>
          <w:sz w:val="23"/>
        </w:rPr>
        <w:t>1. Ambito di applicazione</w:t>
      </w:r>
    </w:p>
    <w:p>
      <w:pPr>
        <w:tabs>
          <w:tab w:pos="567" w:val="left"/>
        </w:tabs>
        <w:ind w:left="567" w:hanging="567"/>
        <w:jc w:val="both"/>
      </w:pPr>
      <w:r>
        <w:rPr>
          <w:b/>
        </w:rPr>
        <w:t>1.1</w:t>
        <w:tab/>
      </w:r>
      <w:r>
        <w:t>Le presenti CG si applicano a tutti i contratti tra Growin Marketing, Michael Meier-Panelli, Rebhaldenstrasse 17, 9445 Rebstein, Svizzera («Growin») e i suoi clienti.</w:t>
      </w:r>
    </w:p>
    <w:p>
      <w:pPr>
        <w:tabs>
          <w:tab w:pos="567" w:val="left"/>
        </w:tabs>
        <w:ind w:left="567" w:hanging="567"/>
        <w:jc w:val="both"/>
      </w:pPr>
      <w:r>
        <w:rPr>
          <w:b/>
        </w:rPr>
        <w:t>1.2</w:t>
        <w:tab/>
      </w:r>
      <w:r>
        <w:t>Condizioni divergenti o integrative del cliente si applicano solo se Growin le ha confermate per iscritto. Gli accordi individuali contenuti nell'offerta o nella conferma d'ordine prevalgono sulle presenti CG.</w:t>
      </w:r>
    </w:p>
    <w:p>
      <w:pPr>
        <w:keepNext/>
        <w:spacing w:before="240" w:after="80"/>
      </w:pPr>
      <w:r>
        <w:rPr>
          <w:b/>
          <w:color w:val="0A0A0A"/>
          <w:sz w:val="23"/>
        </w:rPr>
        <w:t>2. Offerta e conclusione del contratto</w:t>
      </w:r>
    </w:p>
    <w:p>
      <w:pPr>
        <w:tabs>
          <w:tab w:pos="567" w:val="left"/>
        </w:tabs>
        <w:ind w:left="567" w:hanging="567"/>
        <w:jc w:val="both"/>
      </w:pPr>
      <w:r>
        <w:rPr>
          <w:b/>
        </w:rPr>
        <w:t>2.1</w:t>
        <w:tab/>
      </w:r>
      <w:r>
        <w:t>Le offerte di Growin sono valide 14 giorni, salvo diversa indicazione.</w:t>
      </w:r>
    </w:p>
    <w:p>
      <w:pPr>
        <w:tabs>
          <w:tab w:pos="567" w:val="left"/>
        </w:tabs>
        <w:ind w:left="567" w:hanging="567"/>
        <w:jc w:val="both"/>
      </w:pPr>
      <w:r>
        <w:rPr>
          <w:b/>
        </w:rPr>
        <w:t>2.2</w:t>
        <w:tab/>
      </w:r>
      <w:r>
        <w:t>Il contratto si conclude quando il cliente accetta l'offerta per iscritto (è sufficiente l'e-mail) o Growin conferma l'incarico per iscritto.</w:t>
      </w:r>
    </w:p>
    <w:p>
      <w:pPr>
        <w:keepNext/>
        <w:spacing w:before="240" w:after="80"/>
      </w:pPr>
      <w:r>
        <w:rPr>
          <w:b/>
          <w:color w:val="0A0A0A"/>
          <w:sz w:val="23"/>
        </w:rPr>
        <w:t>3. Prestazioni</w:t>
      </w:r>
    </w:p>
    <w:p>
      <w:pPr>
        <w:tabs>
          <w:tab w:pos="567" w:val="left"/>
        </w:tabs>
        <w:ind w:left="567" w:hanging="567"/>
        <w:jc w:val="both"/>
      </w:pPr>
      <w:r>
        <w:rPr>
          <w:b/>
        </w:rPr>
        <w:t>3.1</w:t>
        <w:tab/>
      </w:r>
      <w:r>
        <w:t>Growin fornisce servizi nei settori del marketing e dell'IT, in particolare channel marketing, pianificazione ed esecuzione di campagne, realizzazione di materiali per le campagne (ad es. testi, grafiche, materiali pubblicitari digitali), lead generation, organizzazione di eventi, content marketing, realizzazione di siti web, ottimizzazione per i motori di ricerca (SEO), sviluppo di piattaforme nonché l'esecuzione di campagne MDF (fondi di marketing dei vendor), compresa la preparazione della documentazione di prova. Ambito, scadenze e prezzo risultano dall'offerta o dalla conferma d'ordine.</w:t>
      </w:r>
    </w:p>
    <w:p>
      <w:pPr>
        <w:tabs>
          <w:tab w:pos="567" w:val="left"/>
        </w:tabs>
        <w:ind w:left="567" w:hanging="567"/>
        <w:jc w:val="both"/>
      </w:pPr>
      <w:r>
        <w:rPr>
          <w:b/>
        </w:rPr>
        <w:t>3.2</w:t>
        <w:tab/>
      </w:r>
      <w:r>
        <w:t>Growin è tenuta a eseguire l'incarico a regola d'arte e si impegna a fornire i propri servizi con cura, professionalità e orientamento agli obiettivi. Non è garantito, invece, alcun risultato economico specifico. In particolare, Growin non garantisce:</w:t>
      </w:r>
    </w:p>
    <w:p>
      <w:pPr>
        <w:pStyle w:val="ListBullet"/>
        <w:spacing w:after="40"/>
        <w:ind w:left="907"/>
      </w:pPr>
      <w:r>
        <w:t>l'approvazione o l'erogazione di fondi di finanziamento, sulla quale decide esclusivamente il rispettivo vendor</w:t>
      </w:r>
    </w:p>
    <w:p>
      <w:pPr>
        <w:pStyle w:val="ListBullet"/>
        <w:spacing w:after="40"/>
        <w:ind w:left="907"/>
      </w:pPr>
      <w:r>
        <w:t>un numero o una qualità determinati di lead, partecipanti o contatti raggiunti</w:t>
      </w:r>
    </w:p>
    <w:p>
      <w:pPr>
        <w:pStyle w:val="ListBullet"/>
        <w:spacing w:after="40"/>
        <w:ind w:left="907"/>
      </w:pPr>
      <w:r>
        <w:t>un determinato fatturato o la conclusione di affari da parte del cliente</w:t>
      </w:r>
    </w:p>
    <w:p>
      <w:pPr>
        <w:tabs>
          <w:tab w:pos="567" w:val="left"/>
        </w:tabs>
        <w:ind w:left="567" w:hanging="567"/>
        <w:jc w:val="both"/>
      </w:pPr>
      <w:r>
        <w:rPr>
          <w:b/>
        </w:rPr>
        <w:t>3.3</w:t>
        <w:tab/>
      </w:r>
      <w:r>
        <w:t>Per la documentazione di prova (ad es. Proof of Execution) Growin opera secondo le indicazioni del vendor o dell'erogatore dei fondi, a condizione che il cliente fornisca tempestivamente i documenti e le informazioni necessari. Il compenso di Growin non dipende dall'approvazione di un finanziamento da parte di un vendor, salvo diverso accordo scritto.</w:t>
      </w:r>
    </w:p>
    <w:p>
      <w:pPr>
        <w:tabs>
          <w:tab w:pos="567" w:val="left"/>
        </w:tabs>
        <w:ind w:left="567" w:hanging="567"/>
        <w:jc w:val="both"/>
      </w:pPr>
      <w:r>
        <w:rPr>
          <w:b/>
        </w:rPr>
        <w:t>3.4</w:t>
        <w:tab/>
      </w:r>
      <w:r>
        <w:t>Growin può avvalersi di terzi (ad es. agenzie, tipografie, fornitori di eventi, piattaforme) per l'esecuzione.</w:t>
      </w:r>
    </w:p>
    <w:p>
      <w:pPr>
        <w:tabs>
          <w:tab w:pos="567" w:val="left"/>
        </w:tabs>
        <w:ind w:left="567" w:hanging="567"/>
        <w:jc w:val="both"/>
      </w:pPr>
      <w:r>
        <w:rPr>
          <w:b/>
        </w:rPr>
        <w:t>3.5</w:t>
        <w:tab/>
      </w:r>
      <w:r>
        <w:t>I siti web, le piattaforme e le altre prestazioni IT vengono consegnati da Growin al cliente per la verifica. Il cliente li verifica entro 10 giorni lavorativi e segnala per iscritto i vizi essenziali. Se entro tale termine non segnala vizi essenziali o mette in esercizio la prestazione (ad es. pubblicando il sito web), la prestazione si considera accettata. I vizi non essenziali non impediscono l'accettazione. Con l'accettazione la prestazione si considera completata ai sensi del n. 7.1.</w:t>
      </w:r>
    </w:p>
    <w:p>
      <w:pPr>
        <w:tabs>
          <w:tab w:pos="567" w:val="left"/>
        </w:tabs>
        <w:ind w:left="567" w:hanging="567"/>
        <w:jc w:val="both"/>
      </w:pPr>
      <w:r>
        <w:rPr>
          <w:b/>
        </w:rPr>
        <w:t>3.6</w:t>
        <w:tab/>
      </w:r>
      <w:r>
        <w:t>Growin elimina gratuitamente, entro un termine adeguato, i vizi delle prestazioni IT che il cliente segnala per iscritto entro 3 mesi dall'accettazione. Ulteriori pretese sono escluse nei limiti consentiti dalla legge; resta salvo il n. 10. Non costituiscono vizi i malfunzionamenti causati da modifiche del cliente o di terzi, da aggiornamenti di software di terzi (ad es. browser, CMS, plugin) o dall'hosting.</w:t>
      </w:r>
    </w:p>
    <w:p>
      <w:pPr>
        <w:tabs>
          <w:tab w:pos="567" w:val="left"/>
        </w:tabs>
        <w:ind w:left="567" w:hanging="567"/>
        <w:jc w:val="both"/>
      </w:pPr>
      <w:r>
        <w:rPr>
          <w:b/>
        </w:rPr>
        <w:t>3.7</w:t>
        <w:tab/>
      </w:r>
      <w:r>
        <w:t>Dopo il pagamento integrale il cliente può utilizzare senza limiti di tempo il sito web o la piattaforma realizzati per lui, modificarli e farli sviluppare ulteriormente da terzi. Su richiesta Growin consegna gli accessi e il codice sorgente. Per software di terzi, modelli (temi), plugin, font e immagini si applicano le condizioni di licenza dei rispettivi fornitori. I componenti standard e gli strumenti di Growin restano di Growin. Per il resto si applica il n. 11.2.</w:t>
      </w:r>
    </w:p>
    <w:p>
      <w:pPr>
        <w:tabs>
          <w:tab w:pos="567" w:val="left"/>
        </w:tabs>
        <w:ind w:left="567" w:hanging="567"/>
        <w:jc w:val="both"/>
      </w:pPr>
      <w:r>
        <w:rPr>
          <w:b/>
        </w:rPr>
        <w:t>3.8</w:t>
        <w:tab/>
      </w:r>
      <w:r>
        <w:t>Hosting, dominio, manutenzione, aggiornamenti di sicurezza e assistenza sono dovuti solo se concordati nell'offerta. In caso contrario, dopo l'accettazione ne è responsabile il cliente, anche per il backup dei propri dati.</w:t>
      </w:r>
    </w:p>
    <w:p>
      <w:pPr>
        <w:keepNext/>
        <w:spacing w:before="240" w:after="80"/>
      </w:pPr>
      <w:r>
        <w:rPr>
          <w:b/>
          <w:color w:val="0A0A0A"/>
          <w:sz w:val="23"/>
        </w:rPr>
        <w:t>4. Collaborazione del cliente</w:t>
      </w:r>
    </w:p>
    <w:p>
      <w:pPr>
        <w:tabs>
          <w:tab w:pos="567" w:val="left"/>
        </w:tabs>
        <w:ind w:left="567" w:hanging="567"/>
        <w:jc w:val="both"/>
      </w:pPr>
      <w:r>
        <w:rPr>
          <w:b/>
        </w:rPr>
        <w:t>4.1</w:t>
        <w:tab/>
      </w:r>
      <w:r>
        <w:t>Il cliente mette a disposizione di Growin tutte le informazioni, i documenti, gli accessi e le approvazioni in modo tempestivo, completo e corretto. Se la collaborazione subisce ritardi, i termini concordati slittano di conseguenza. Per gli insuccessi o i maggiori oneri che ne derivano, Growin esclude ogni responsabilità.</w:t>
      </w:r>
    </w:p>
    <w:p>
      <w:pPr>
        <w:tabs>
          <w:tab w:pos="567" w:val="left"/>
        </w:tabs>
        <w:ind w:left="567" w:hanging="567"/>
        <w:jc w:val="both"/>
      </w:pPr>
      <w:r>
        <w:rPr>
          <w:b/>
        </w:rPr>
        <w:t>4.2</w:t>
        <w:tab/>
      </w:r>
      <w:r>
        <w:t>Il cliente è responsabile della liceità dei contenuti da lui forniti (testi, loghi, immagini, marchi, dati di contatto) e di disporre dei diritti e dei consensi necessari, in particolare per l'invio di comunicazioni pubblicitarie ai contatti.</w:t>
      </w:r>
    </w:p>
    <w:p>
      <w:pPr>
        <w:keepNext/>
        <w:spacing w:before="240" w:after="80"/>
      </w:pPr>
      <w:r>
        <w:rPr>
          <w:b/>
          <w:color w:val="0A0A0A"/>
          <w:sz w:val="23"/>
        </w:rPr>
        <w:t>5. Costi e spese</w:t>
      </w:r>
    </w:p>
    <w:p>
      <w:pPr>
        <w:tabs>
          <w:tab w:pos="567" w:val="left"/>
        </w:tabs>
        <w:ind w:left="567" w:hanging="567"/>
        <w:jc w:val="both"/>
      </w:pPr>
      <w:r>
        <w:rPr>
          <w:b/>
        </w:rPr>
        <w:t>5.1</w:t>
        <w:tab/>
      </w:r>
      <w:r>
        <w:t>Salvo diversa previsione dell'offerta, nel prezzo concordato sono compresi tutti i costi necessari all'esecuzione della prestazione, in particolare budget pubblicitario, software e strumenti (ad es. abbonamenti per webinar o videoconferenze) nonché prestazioni di terzi coinvolti.</w:t>
      </w:r>
    </w:p>
    <w:p>
      <w:pPr>
        <w:tabs>
          <w:tab w:pos="567" w:val="left"/>
        </w:tabs>
        <w:ind w:left="567" w:hanging="567"/>
        <w:jc w:val="both"/>
      </w:pPr>
      <w:r>
        <w:rPr>
          <w:b/>
        </w:rPr>
        <w:t>5.2</w:t>
        <w:tab/>
      </w:r>
      <w:r>
        <w:t>Non sono compresi i costi di viaggio e pernottamento né le spese. Questi vengono fatturati separatamente in base al dispendio. Lo stesso vale per i costi derivanti da richieste aggiuntive o modificate del cliente.</w:t>
      </w:r>
    </w:p>
    <w:p>
      <w:pPr>
        <w:tabs>
          <w:tab w:pos="567" w:val="left"/>
        </w:tabs>
        <w:ind w:left="567" w:hanging="567"/>
        <w:jc w:val="both"/>
      </w:pPr>
      <w:r>
        <w:rPr>
          <w:b/>
        </w:rPr>
        <w:t>5.3</w:t>
        <w:tab/>
      </w:r>
      <w:r>
        <w:t>Se l'offerta indica espressamente singoli costi (ad es. budget pubblicitario) separatamente, essi vengono fatturati secondo l'offerta. Growin può richiedere un anticipo.</w:t>
      </w:r>
    </w:p>
    <w:p>
      <w:pPr>
        <w:tabs>
          <w:tab w:pos="567" w:val="left"/>
        </w:tabs>
        <w:ind w:left="567" w:hanging="567"/>
        <w:jc w:val="both"/>
      </w:pPr>
      <w:r>
        <w:rPr>
          <w:b/>
        </w:rPr>
        <w:t>5.4</w:t>
        <w:tab/>
      </w:r>
      <w:r>
        <w:t>Il cliente non ha diritto alla divulgazione dei singoli costi né del margine di Growin. Restano salvi i giustificativi richiesti dall'erogatore degli MDF per l'erogazione dei fondi.</w:t>
      </w:r>
    </w:p>
    <w:p>
      <w:pPr>
        <w:keepNext/>
        <w:spacing w:before="240" w:after="80"/>
      </w:pPr>
      <w:r>
        <w:rPr>
          <w:b/>
          <w:color w:val="0A0A0A"/>
          <w:sz w:val="23"/>
        </w:rPr>
        <w:t>6. Prezzi</w:t>
      </w:r>
    </w:p>
    <w:p>
      <w:pPr>
        <w:tabs>
          <w:tab w:pos="567" w:val="left"/>
        </w:tabs>
        <w:ind w:left="567" w:hanging="567"/>
        <w:jc w:val="both"/>
      </w:pPr>
      <w:r>
        <w:rPr>
          <w:b/>
        </w:rPr>
        <w:t>6.1</w:t>
        <w:tab/>
      </w:r>
      <w:r>
        <w:t>I prezzi si intendono nella valuta indicata nell'offerta (CHF o EUR) e al netto di imposta sul valore aggiunto e di altri tributi, salvo diversa indicazione.</w:t>
      </w:r>
    </w:p>
    <w:p>
      <w:pPr>
        <w:tabs>
          <w:tab w:pos="567" w:val="left"/>
        </w:tabs>
        <w:ind w:left="567" w:hanging="567"/>
        <w:jc w:val="both"/>
      </w:pPr>
      <w:r>
        <w:rPr>
          <w:b/>
        </w:rPr>
        <w:t>6.2</w:t>
        <w:tab/>
      </w:r>
      <w:r>
        <w:t>Fanno fede i prezzi indicati nell'offerta o nella conferma d'ordine. Le prestazioni aggiuntive richieste dal cliente vengono fatturate separatamente.</w:t>
      </w:r>
    </w:p>
    <w:p>
      <w:pPr>
        <w:tabs>
          <w:tab w:pos="567" w:val="left"/>
        </w:tabs>
        <w:ind w:left="567" w:hanging="567"/>
        <w:jc w:val="both"/>
      </w:pPr>
      <w:r>
        <w:rPr>
          <w:b/>
        </w:rPr>
        <w:t>6.3</w:t>
        <w:tab/>
      </w:r>
      <w:r>
        <w:t>Le fatture devono essere pagate nella valuta dell'offerta, senza deduzione di spese bancarie o commissioni. Tali costi sono a carico del cliente.</w:t>
      </w:r>
    </w:p>
    <w:p>
      <w:pPr>
        <w:keepNext/>
        <w:spacing w:before="240" w:after="80"/>
      </w:pPr>
      <w:r>
        <w:rPr>
          <w:b/>
          <w:color w:val="0A0A0A"/>
          <w:sz w:val="23"/>
        </w:rPr>
        <w:t>7. Pagamento</w:t>
      </w:r>
    </w:p>
    <w:p>
      <w:pPr>
        <w:tabs>
          <w:tab w:pos="567" w:val="left"/>
        </w:tabs>
        <w:ind w:left="567" w:hanging="567"/>
        <w:jc w:val="both"/>
      </w:pPr>
      <w:r>
        <w:rPr>
          <w:b/>
        </w:rPr>
        <w:t>7.1</w:t>
        <w:tab/>
      </w:r>
      <w:r>
        <w:t>Prima dell'inizio di ogni servizio o fornitura è dovuto un acconto del 50% del prezzo. Il restante 50% è dovuto al completamento del servizio o della fornitura. Per completamento si intende il momento in cui Growin ha fornito le prestazioni concordate e ne dà comunicazione al cliente, di regola con la fattura finale. Se è concordata una durata fissa, il completamento coincide con la fine della durata. Per le prestazioni IT si applica il n. 3.5.</w:t>
      </w:r>
    </w:p>
    <w:p>
      <w:pPr>
        <w:tabs>
          <w:tab w:pos="567" w:val="left"/>
        </w:tabs>
        <w:ind w:left="567" w:hanging="567"/>
        <w:jc w:val="both"/>
      </w:pPr>
      <w:r>
        <w:rPr>
          <w:b/>
        </w:rPr>
        <w:t>7.2</w:t>
        <w:tab/>
      </w:r>
      <w:r>
        <w:t>Growin si riserva di adeguare nel singolo caso l'importo e la scadenza dell'acconto. Fa fede l'offerta o la conferma d'ordine. Growin è tenuta a iniziare il servizio o la fornitura solo dopo il ricevimento dell'acconto.</w:t>
      </w:r>
    </w:p>
    <w:p>
      <w:pPr>
        <w:tabs>
          <w:tab w:pos="567" w:val="left"/>
        </w:tabs>
        <w:ind w:left="567" w:hanging="567"/>
        <w:jc w:val="both"/>
      </w:pPr>
      <w:r>
        <w:rPr>
          <w:b/>
        </w:rPr>
        <w:t>7.3</w:t>
        <w:tab/>
      </w:r>
      <w:r>
        <w:t>Le fatture sono pagabili entro 14 giorni dalla data della fattura, al netto. Decorso tale termine il cliente è in mora senza bisogno di sollecito. Si applica un interesse di mora del 5% annuo. Growin può addebitare per il sollecito una commissione di CHF 30. In caso di ulteriori solleciti la commissione può aumentare. Gli ulteriori costi per il recupero del credito, in particolare per incasso ed esecuzione, vengono addebitati al cliente.</w:t>
      </w:r>
    </w:p>
    <w:p>
      <w:pPr>
        <w:tabs>
          <w:tab w:pos="567" w:val="left"/>
        </w:tabs>
        <w:ind w:left="567" w:hanging="567"/>
        <w:jc w:val="both"/>
      </w:pPr>
      <w:r>
        <w:rPr>
          <w:b/>
        </w:rPr>
        <w:t>7.4</w:t>
        <w:tab/>
      </w:r>
      <w:r>
        <w:t>In caso di mora Growin può sospendere le proprie prestazioni fino al pagamento degli importi scaduti. Il cliente non può compensare i crediti di Growin con propri controcrediti, a meno che questi non siano riconosciuti o accertati con sentenza passata in giudicato.</w:t>
      </w:r>
    </w:p>
    <w:p>
      <w:pPr>
        <w:keepNext/>
        <w:spacing w:before="240" w:after="80"/>
      </w:pPr>
      <w:r>
        <w:rPr>
          <w:b/>
          <w:color w:val="0A0A0A"/>
          <w:sz w:val="23"/>
        </w:rPr>
        <w:t>8. Modifiche, interruzione e disdetta</w:t>
      </w:r>
    </w:p>
    <w:p>
      <w:pPr>
        <w:tabs>
          <w:tab w:pos="567" w:val="left"/>
        </w:tabs>
        <w:ind w:left="567" w:hanging="567"/>
        <w:jc w:val="both"/>
      </w:pPr>
      <w:r>
        <w:rPr>
          <w:b/>
        </w:rPr>
        <w:t>8.1</w:t>
        <w:tab/>
      </w:r>
      <w:r>
        <w:t>Le modifiche dell'incarico richiedono la forma scritta (è sufficiente l'e-mail). Il maggiore onere viene fatturato.</w:t>
      </w:r>
    </w:p>
    <w:p>
      <w:pPr>
        <w:tabs>
          <w:tab w:pos="567" w:val="left"/>
        </w:tabs>
        <w:ind w:left="567" w:hanging="567"/>
        <w:jc w:val="both"/>
      </w:pPr>
      <w:r>
        <w:rPr>
          <w:b/>
        </w:rPr>
        <w:t>8.2</w:t>
        <w:tab/>
      </w:r>
      <w:r>
        <w:t>Growin può disdire in qualsiasi momento qualsiasi incarico, anche con durata fissa, con effetto per il futuro. Il cliente può disdire un incarico senza durata fissa con preavviso di 30 giorni per la fine di un mese; per gli incarichi a durata fissa vale il n. 8.3. Il cliente paga la quota del prezzo corrispondente alle prestazioni fornite fino a quel momento, nonché i costi verso terzi che Growin ha già assunto in modo vincolante e non può più annullare, nella misura in cui non siano già compresi in tale quota. Se tale importo supera l'acconto versato, la differenza viene addebitata; se è inferiore, l'eccedenza viene rimborsata. Restano salvi i diritti previsti dalla legge in caso di disdetta intempestiva.</w:t>
      </w:r>
    </w:p>
    <w:p>
      <w:pPr>
        <w:tabs>
          <w:tab w:pos="567" w:val="left"/>
        </w:tabs>
        <w:ind w:left="567" w:hanging="567"/>
        <w:jc w:val="both"/>
      </w:pPr>
      <w:r>
        <w:rPr>
          <w:b/>
        </w:rPr>
        <w:t>8.3</w:t>
        <w:tab/>
      </w:r>
      <w:r>
        <w:t>Se nell'offerta è concordata una durata fissa, il contratto termina automaticamente alla scadenza di tale durata. Un rinnovo avviene solo se il cliente lo conferma per iscritto prima della scadenza. Se la durata fissa è superiore a 3 mesi, il cliente può disdire il contratto per la prima volta per la fine del 3° mese, con preavviso di 30 giorni. Successivamente il termine di disdetta per il cliente è di 3 mesi per la fine di un mese. Fino alla fine del termine di disdetta il prezzo rimane dovuto. I costi verso terzi che Growin ha già assunto in modo vincolante e che si estendono oltre la fine del contratto (ad es. budget pubblicitario prenotato o abbonamenti a strumenti) vengono addebitati al cliente ai sensi del n. 8.2. Il diritto di Growin di disdire ai sensi del n. 8.2 resta impregiudicato.</w:t>
      </w:r>
    </w:p>
    <w:p>
      <w:pPr>
        <w:keepNext/>
        <w:spacing w:before="240" w:after="80"/>
      </w:pPr>
      <w:r>
        <w:rPr>
          <w:b/>
          <w:color w:val="0A0A0A"/>
          <w:sz w:val="23"/>
        </w:rPr>
        <w:t>9. Forniture di merci</w:t>
      </w:r>
    </w:p>
    <w:p>
      <w:pPr>
        <w:tabs>
          <w:tab w:pos="567" w:val="left"/>
        </w:tabs>
        <w:ind w:left="567" w:hanging="567"/>
        <w:jc w:val="both"/>
      </w:pPr>
      <w:r>
        <w:rPr>
          <w:b/>
        </w:rPr>
        <w:t>9.1</w:t>
        <w:tab/>
      </w:r>
      <w:r>
        <w:t>Se Growin procura merci su richiesta del cliente (ad es. articoli promozionali, gadget), le acquista in proprio nome e le rivende al cliente. Le condizioni di acquisto di Growin non sono oggetto del contratto.</w:t>
      </w:r>
    </w:p>
    <w:p>
      <w:pPr>
        <w:tabs>
          <w:tab w:pos="567" w:val="left"/>
        </w:tabs>
        <w:ind w:left="567" w:hanging="567"/>
        <w:jc w:val="both"/>
      </w:pPr>
      <w:r>
        <w:rPr>
          <w:b/>
        </w:rPr>
        <w:t>9.2</w:t>
        <w:tab/>
      </w:r>
      <w:r>
        <w:t>Su richiesta Growin consegna direttamente al destinatario indicato dal cliente. Il cliente è responsabile dell'esattezza dell'indirizzo di consegna. Utilità e rischio passano al cliente con la consegna della merce al trasportatore.</w:t>
      </w:r>
    </w:p>
    <w:p>
      <w:pPr>
        <w:tabs>
          <w:tab w:pos="567" w:val="left"/>
        </w:tabs>
        <w:ind w:left="567" w:hanging="567"/>
        <w:jc w:val="both"/>
      </w:pPr>
      <w:r>
        <w:rPr>
          <w:b/>
        </w:rPr>
        <w:t>9.3</w:t>
        <w:tab/>
      </w:r>
      <w:r>
        <w:t>I termini di consegna non sono vincolanti, salvo che Growin li abbia espressamente confermati come tali. Ritardi dei fornitori, nel trasporto o dovuti a forza maggiore non danno diritto al cliente al risarcimento del danno.</w:t>
      </w:r>
    </w:p>
    <w:p>
      <w:pPr>
        <w:tabs>
          <w:tab w:pos="567" w:val="left"/>
        </w:tabs>
        <w:ind w:left="567" w:hanging="567"/>
        <w:jc w:val="both"/>
      </w:pPr>
      <w:r>
        <w:rPr>
          <w:b/>
        </w:rPr>
        <w:t>9.4</w:t>
        <w:tab/>
      </w:r>
      <w:r>
        <w:t>Per i prodotti personalizzati (ad es. stampa, ricamo, logo) il cliente riceve prima della produzione un campione o un'anteprima per l'approvazione. Con l'approvazione il cliente si assume la responsabilità del contenuto. Dopo l'approvazione sono esclusi lo storno e la restituzione. Sono ammesse variazioni dovute alla produzione: per la quantità fino a ±10%, per colore, dimensione e resa di stampa entro i limiti usuali del settore. Le quantità in eccesso o in difetto vengono fatturate proporzionalmente.</w:t>
      </w:r>
    </w:p>
    <w:p>
      <w:pPr>
        <w:tabs>
          <w:tab w:pos="567" w:val="left"/>
        </w:tabs>
        <w:ind w:left="567" w:hanging="567"/>
        <w:jc w:val="both"/>
      </w:pPr>
      <w:r>
        <w:rPr>
          <w:b/>
        </w:rPr>
        <w:t>9.5</w:t>
        <w:tab/>
      </w:r>
      <w:r>
        <w:t>Il cliente controlla la merce subito dopo il ricevimento; in caso di consegna diretta provvede affinché il destinatario lo faccia. I vizi palesi e le consegne errate devono essere contestati per iscritto con foto entro 7 giorni dal ricevimento, i vizi occulti immediatamente dopo la scoperta. In caso contrario la merce si considera approvata.</w:t>
      </w:r>
    </w:p>
    <w:p>
      <w:pPr>
        <w:tabs>
          <w:tab w:pos="567" w:val="left"/>
        </w:tabs>
        <w:ind w:left="567" w:hanging="567"/>
        <w:jc w:val="both"/>
      </w:pPr>
      <w:r>
        <w:rPr>
          <w:b/>
        </w:rPr>
        <w:t>9.6</w:t>
        <w:tab/>
      </w:r>
      <w:r>
        <w:t>In caso di vizi contestati tempestivamente, Growin sceglie tra riparazione, sostituzione e riduzione del prezzo. Ulteriori pretese sono escluse nei limiti consentiti dalla legge. Su richiesta Growin cede al cliente i propri diritti nei confronti del fornitore. Le pretese di garanzia si prescrivono un anno dopo la consegna.</w:t>
      </w:r>
    </w:p>
    <w:p>
      <w:pPr>
        <w:keepNext/>
        <w:spacing w:before="240" w:after="80"/>
      </w:pPr>
      <w:r>
        <w:rPr>
          <w:b/>
          <w:color w:val="0A0A0A"/>
          <w:sz w:val="23"/>
        </w:rPr>
        <w:t>10. Responsabilità</w:t>
      </w:r>
    </w:p>
    <w:p>
      <w:pPr>
        <w:tabs>
          <w:tab w:pos="567" w:val="left"/>
        </w:tabs>
        <w:ind w:left="567" w:hanging="567"/>
        <w:jc w:val="both"/>
      </w:pPr>
      <w:r>
        <w:rPr>
          <w:b/>
        </w:rPr>
        <w:t>10.1</w:t>
        <w:tab/>
      </w:r>
      <w:r>
        <w:t>Growin risponde secondo la legge per dolo e colpa grave.</w:t>
      </w:r>
    </w:p>
    <w:p>
      <w:pPr>
        <w:tabs>
          <w:tab w:pos="567" w:val="left"/>
        </w:tabs>
        <w:ind w:left="567" w:hanging="567"/>
        <w:jc w:val="both"/>
      </w:pPr>
      <w:r>
        <w:rPr>
          <w:b/>
        </w:rPr>
        <w:t>10.2</w:t>
        <w:tab/>
      </w:r>
      <w:r>
        <w:t>Per colpa lieve Growin risponde solo dei danni diretti e al massimo fino all'importo del prezzo concordato per l'incarico interessato. La responsabilità per gli ausiliari è esclusa nella misura consentita dalla legge.</w:t>
      </w:r>
    </w:p>
    <w:p>
      <w:pPr>
        <w:tabs>
          <w:tab w:pos="567" w:val="left"/>
        </w:tabs>
        <w:ind w:left="567" w:hanging="567"/>
        <w:jc w:val="both"/>
      </w:pPr>
      <w:r>
        <w:rPr>
          <w:b/>
        </w:rPr>
        <w:t>10.3</w:t>
        <w:tab/>
      </w:r>
      <w:r>
        <w:t>È esclusa la responsabilità per danni indiretti e danni consequenziali, in particolare per mancato guadagno, perdita di dati e danni reputazionali.</w:t>
      </w:r>
    </w:p>
    <w:p>
      <w:pPr>
        <w:tabs>
          <w:tab w:pos="567" w:val="left"/>
        </w:tabs>
        <w:ind w:left="567" w:hanging="567"/>
        <w:jc w:val="both"/>
      </w:pPr>
      <w:r>
        <w:rPr>
          <w:b/>
        </w:rPr>
        <w:t>10.4</w:t>
        <w:tab/>
      </w:r>
      <w:r>
        <w:t>Per prestazioni, merci e contenuti di terzi (fornitori, produttori, piattaforme pubblicitarie) Growin risponde solo della scelta e dell'istruzione accurate. Su richiesta Growin cede al cliente i propri diritti nei confronti di tali terzi.</w:t>
      </w:r>
    </w:p>
    <w:p>
      <w:pPr>
        <w:tabs>
          <w:tab w:pos="567" w:val="left"/>
        </w:tabs>
        <w:ind w:left="567" w:hanging="567"/>
        <w:jc w:val="both"/>
      </w:pPr>
      <w:r>
        <w:rPr>
          <w:b/>
        </w:rPr>
        <w:t>10.5</w:t>
        <w:tab/>
      </w:r>
      <w:r>
        <w:t>Il cliente è responsabile dell'uso, della diffusione e della cessione delle merci consegnate. Egli tiene indenne Growin da pretese di terzi derivanti dal fatto che egli o i suoi destinatari modificano le merci, le usano in modo improprio o contrario alle indicazioni del produttore, o le diffondono, salvo che Growin abbia colpa.</w:t>
      </w:r>
    </w:p>
    <w:p>
      <w:pPr>
        <w:keepNext/>
        <w:spacing w:before="240" w:after="80"/>
      </w:pPr>
      <w:r>
        <w:rPr>
          <w:b/>
          <w:color w:val="0A0A0A"/>
          <w:sz w:val="23"/>
        </w:rPr>
        <w:t>11. Diritti su materiali e risultati del lavoro</w:t>
      </w:r>
    </w:p>
    <w:p>
      <w:pPr>
        <w:tabs>
          <w:tab w:pos="567" w:val="left"/>
        </w:tabs>
        <w:ind w:left="567" w:hanging="567"/>
        <w:jc w:val="both"/>
      </w:pPr>
      <w:r>
        <w:rPr>
          <w:b/>
        </w:rPr>
        <w:t>11.1</w:t>
        <w:tab/>
      </w:r>
      <w:r>
        <w:t>I diritti sui materiali forniti dal cliente restano al cliente. Il cliente autorizza Growin a utilizzarli per l'esecuzione dell'incarico e, nella misura necessaria, a trasmetterli a terzi, in particolare all'erogatore degli MDF, ai fornitori e alle piattaforme. Egli conferma di esserne autorizzato.</w:t>
      </w:r>
    </w:p>
    <w:p>
      <w:pPr>
        <w:tabs>
          <w:tab w:pos="567" w:val="left"/>
        </w:tabs>
        <w:ind w:left="567" w:hanging="567"/>
        <w:jc w:val="both"/>
      </w:pPr>
      <w:r>
        <w:rPr>
          <w:b/>
        </w:rPr>
        <w:t>11.2</w:t>
        <w:tab/>
      </w:r>
      <w:r>
        <w:t>Sui risultati del lavoro realizzati appositamente per il cliente (ad es. testi, grafiche, materiale di campagna) il cliente ottiene, dopo il pagamento integrale, il diritto non esclusivo di utilizzarli per lo scopo concordato. Ulteriori diritti richiedono un accordo scritto. Il know-how, i modelli, i metodi e gli strumenti di Growin restano di Growin.</w:t>
      </w:r>
    </w:p>
    <w:p>
      <w:pPr>
        <w:tabs>
          <w:tab w:pos="567" w:val="left"/>
        </w:tabs>
        <w:ind w:left="567" w:hanging="567"/>
        <w:jc w:val="both"/>
      </w:pPr>
      <w:r>
        <w:rPr>
          <w:b/>
        </w:rPr>
        <w:t>11.3</w:t>
        <w:tab/>
      </w:r>
      <w:r>
        <w:t>Il cliente verifica i risultati del lavoro di Growin prima dell'uso, per correttezza e idoneità, e li utilizza sotto la propria responsabilità. Nella misura consentita dalla legge, Growin non risponde dei danni derivanti dal fatto che il cliente modifichi i risultati del lavoro, li usi al di fuori dello scopo concordato o in modo errato, o li trasmetta a terzi.</w:t>
      </w:r>
    </w:p>
    <w:p>
      <w:pPr>
        <w:tabs>
          <w:tab w:pos="567" w:val="left"/>
        </w:tabs>
        <w:ind w:left="567" w:hanging="567"/>
        <w:jc w:val="both"/>
      </w:pPr>
      <w:r>
        <w:rPr>
          <w:b/>
        </w:rPr>
        <w:t>11.4</w:t>
        <w:tab/>
      </w:r>
      <w:r>
        <w:t>Il cliente tiene indenne Growin da pretese di terzi e di autorità derivanti dal fatto che i contenuti da lui forniti violino diritti di terzi o che egli utilizzi dati personali in modo illecito. Ciò vale anche per i dati di contatto trattati nell'ambito di un incarico nei suoi sistemi o account. Il cliente è l'unico responsabile di inviare comunicazioni pubblicitarie come newsletter solo se ciò è consentito dalla normativa sulla protezione dei dati e sulla concorrenza e se sono presenti i consensi necessari.</w:t>
      </w:r>
    </w:p>
    <w:p>
      <w:pPr>
        <w:keepNext/>
        <w:spacing w:before="240" w:after="80"/>
      </w:pPr>
      <w:r>
        <w:rPr>
          <w:b/>
          <w:color w:val="0A0A0A"/>
          <w:sz w:val="23"/>
        </w:rPr>
        <w:t>12. Referenze</w:t>
      </w:r>
    </w:p>
    <w:p>
      <w:pPr>
        <w:ind w:left="567"/>
        <w:jc w:val="both"/>
      </w:pPr>
      <w:r>
        <w:t>Growin può citare il cliente (nome e logo) come referenza, salvo opposizione scritta del cliente.</w:t>
      </w:r>
    </w:p>
    <w:p>
      <w:pPr>
        <w:keepNext/>
        <w:spacing w:before="240" w:after="80"/>
      </w:pPr>
      <w:r>
        <w:rPr>
          <w:b/>
          <w:color w:val="0A0A0A"/>
          <w:sz w:val="23"/>
        </w:rPr>
        <w:t>13. Riservatezza e protezione dei dati</w:t>
      </w:r>
    </w:p>
    <w:p>
      <w:pPr>
        <w:tabs>
          <w:tab w:pos="567" w:val="left"/>
        </w:tabs>
        <w:ind w:left="567" w:hanging="567"/>
        <w:jc w:val="both"/>
      </w:pPr>
      <w:r>
        <w:rPr>
          <w:b/>
        </w:rPr>
        <w:t>13.1</w:t>
        <w:tab/>
      </w:r>
      <w:r>
        <w:t>Le parti trattano come riservate le informazioni riservate dell'altra parte e le utilizzano solo per l'incarico. L'obbligo vale anche dopo la fine del contratto. Sono escluse le informazioni di dominio pubblico, gli obblighi legali di divulgazione e la trasmissione a terzi, nella misura in cui sia necessaria per l'esecuzione dell'incarico e questi siano vincolati alla riservatezza.</w:t>
      </w:r>
    </w:p>
    <w:p>
      <w:pPr>
        <w:tabs>
          <w:tab w:pos="567" w:val="left"/>
        </w:tabs>
        <w:ind w:left="567" w:hanging="567"/>
        <w:jc w:val="both"/>
      </w:pPr>
      <w:r>
        <w:rPr>
          <w:b/>
        </w:rPr>
        <w:t>13.2</w:t>
        <w:tab/>
      </w:r>
      <w:r>
        <w:t>Growin tratta i dati personali secondo l'informativa sulla privacy su growinmarketing.ch e le leggi applicabili sulla protezione dei dati. Se il cliente comunica a Growin dati personali di terzi (ad es. indirizzi di destinatari o elenchi di contatti), garantisce di esserne autorizzato. Se Growin tratta dati per conto del cliente, le parti stipulano, se necessario, un accordo sul trattamento dei dati per conto terzi.</w:t>
      </w:r>
    </w:p>
    <w:p>
      <w:pPr>
        <w:keepNext/>
        <w:spacing w:before="240" w:after="80"/>
      </w:pPr>
      <w:r>
        <w:rPr>
          <w:b/>
          <w:color w:val="0A0A0A"/>
          <w:sz w:val="23"/>
        </w:rPr>
        <w:t>14. Disposizioni finali</w:t>
      </w:r>
    </w:p>
    <w:p>
      <w:pPr>
        <w:tabs>
          <w:tab w:pos="567" w:val="left"/>
        </w:tabs>
        <w:ind w:left="567" w:hanging="567"/>
        <w:jc w:val="both"/>
      </w:pPr>
      <w:r>
        <w:rPr>
          <w:b/>
        </w:rPr>
        <w:t>14.1</w:t>
        <w:tab/>
      </w:r>
      <w:r>
        <w:t>Growin può modificare le presenti CG. Per gli incarichi in corso vale la versione in vigore alla conclusione del contratto.</w:t>
      </w:r>
    </w:p>
    <w:p>
      <w:pPr>
        <w:tabs>
          <w:tab w:pos="567" w:val="left"/>
        </w:tabs>
        <w:ind w:left="567" w:hanging="567"/>
        <w:jc w:val="both"/>
      </w:pPr>
      <w:r>
        <w:rPr>
          <w:b/>
        </w:rPr>
        <w:t>14.2</w:t>
        <w:tab/>
      </w:r>
      <w:r>
        <w:t>Se una disposizione è invalida, le altre rimangono valide. Le parti sostituiscono la disposizione invalida con una valida che si avvicini il più possibile allo scopo economico.</w:t>
      </w:r>
    </w:p>
    <w:p>
      <w:pPr>
        <w:tabs>
          <w:tab w:pos="567" w:val="left"/>
        </w:tabs>
        <w:ind w:left="567" w:hanging="567"/>
        <w:jc w:val="both"/>
      </w:pPr>
      <w:r>
        <w:rPr>
          <w:b/>
        </w:rPr>
        <w:t>14.3</w:t>
        <w:tab/>
      </w:r>
      <w:r>
        <w:t>Le comunicazioni possono avvenire per e-mail.</w:t>
      </w:r>
    </w:p>
    <w:p>
      <w:pPr>
        <w:tabs>
          <w:tab w:pos="567" w:val="left"/>
        </w:tabs>
        <w:ind w:left="567" w:hanging="567"/>
        <w:jc w:val="both"/>
      </w:pPr>
      <w:r>
        <w:rPr>
          <w:b/>
        </w:rPr>
        <w:t>14.4</w:t>
        <w:tab/>
      </w:r>
      <w:r>
        <w:t>Si applica il diritto materiale svizzero, escluse le norme di conflitto e la Convenzione di Vienna sulla vendita internazionale di merci (CISG).</w:t>
      </w:r>
    </w:p>
    <w:p>
      <w:pPr>
        <w:tabs>
          <w:tab w:pos="567" w:val="left"/>
        </w:tabs>
        <w:ind w:left="567" w:hanging="567"/>
        <w:jc w:val="both"/>
      </w:pPr>
      <w:r>
        <w:rPr>
          <w:b/>
        </w:rPr>
        <w:t>14.5</w:t>
        <w:tab/>
      </w:r>
      <w:r>
        <w:t>Foro competente è la sede di Growin a Rebstein (SG). Growin ha diritto di convenire il cliente anche presso la sua sede.</w:t>
      </w:r>
    </w:p>
    <w:p>
      <w:pPr>
        <w:tabs>
          <w:tab w:pos="567" w:val="left"/>
        </w:tabs>
        <w:ind w:left="567" w:hanging="567"/>
        <w:jc w:val="both"/>
      </w:pPr>
      <w:r>
        <w:rPr>
          <w:b/>
        </w:rPr>
        <w:t>14.6</w:t>
        <w:tab/>
      </w:r>
      <w:r>
        <w:t>Fa fede la versione tedesca delle presenti CG. Le traduzioni hanno solo scopo informativo. In caso di divergenze o contraddizioni prevale la versione tedesca.</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Growin Marketing · Rebhaldenstrasse 17 · 9445 Rebstein · Svizzera    |    Pagina </w:t>
    </w:r>
    <w:r>
      <w:rPr>
        <w:color w:val="595959"/>
        <w:sz w:val="16"/>
      </w:rPr>
      <w:fldChar w:fldCharType="begin"/>
      <w:instrText xml:space="preserve">PAGE</w:instrText>
      <w:fldChar w:fldCharType="end"/>
    </w:r>
    <w:r>
      <w:rPr>
        <w:color w:val="595959"/>
        <w:sz w:val="16"/>
      </w:rPr>
      <w:t xml:space="preserve"> di </w:t>
    </w:r>
    <w:r>
      <w:rPr>
        <w:color w:val="595959"/>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95959"/>
        <w:sz w:val="18"/>
      </w:rPr>
      <w:t>Growin Marketing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9432495C100F44B5C384EFAB9F9EA0" ma:contentTypeVersion="12" ma:contentTypeDescription="Create a new document." ma:contentTypeScope="" ma:versionID="7878cb6357bf92490a4572d6c61c63f3">
  <xsd:schema xmlns:xsd="http://www.w3.org/2001/XMLSchema" xmlns:xs="http://www.w3.org/2001/XMLSchema" xmlns:p="http://schemas.microsoft.com/office/2006/metadata/properties" xmlns:ns2="ff788899-77bb-4a0a-af87-ce63e570526b" xmlns:ns3="f2fea557-18e8-473f-ad7a-55da603977cd" targetNamespace="http://schemas.microsoft.com/office/2006/metadata/properties" ma:root="true" ma:fieldsID="1948ebfd2c72681a9c07473ccab1ba59" ns2:_="" ns3:_="">
    <xsd:import namespace="ff788899-77bb-4a0a-af87-ce63e570526b"/>
    <xsd:import namespace="f2fea557-18e8-473f-ad7a-55da60397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88899-77bb-4a0a-af87-ce63e5705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4a57a04-6505-4748-88b9-c7f4c6f5fa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fea557-18e8-473f-ad7a-55da603977c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ee1dd6-58ed-4dcd-b696-0587d67c30d2}" ma:internalName="TaxCatchAll" ma:showField="CatchAllData" ma:web="f2fea557-18e8-473f-ad7a-55da60397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2fea557-18e8-473f-ad7a-55da603977cd" xsi:nil="true"/>
    <lcf76f155ced4ddcb4097134ff3c332f xmlns="ff788899-77bb-4a0a-af87-ce63e57052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909290B-CCC0-4821-B982-EE3B3196034E}"/>
</file>

<file path=customXml/itemProps3.xml><?xml version="1.0" encoding="utf-8"?>
<ds:datastoreItem xmlns:ds="http://schemas.openxmlformats.org/officeDocument/2006/customXml" ds:itemID="{E24212AD-80B8-4370-AFD5-A325CBD2A6DB}"/>
</file>

<file path=customXml/itemProps4.xml><?xml version="1.0" encoding="utf-8"?>
<ds:datastoreItem xmlns:ds="http://schemas.openxmlformats.org/officeDocument/2006/customXml" ds:itemID="{8E36FCB1-5497-4A6B-A14C-D4E44AED72F8}"/>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Generali (CG)</dc:title>
  <dc:subject/>
  <dc:creator>Growin Marketing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0x010100769432495C100F44B5C384EFAB9F9EA0</vt:lpwstr>
  </property>
</Properties>
</file>